
<file path=[Content_Types].xml><?xml version="1.0" encoding="utf-8"?>
<Types xmlns="http://schemas.openxmlformats.org/package/2006/content-types">
  <Default ContentType="application/vnd.openxmlformats-package.relationships+xml" Extension="rels"/>
  <Default ContentType="image/jpeg" Extension="jpeg"/>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195" w:before="195" w:line="240" w:lineRule="auto"/>
        <w:ind/>
        <w:jc w:val="right"/>
        <w:rPr>
          <w:rFonts w:ascii="Times New Roman" w:hAnsi="Times New Roman"/>
          <w:color w:val="103442"/>
          <w:sz w:val="28"/>
        </w:rPr>
      </w:pPr>
      <w:r>
        <w:rPr>
          <w:rFonts w:ascii="Times New Roman" w:hAnsi="Times New Roman"/>
          <w:color w:val="103442"/>
          <w:sz w:val="28"/>
        </w:rPr>
        <w:t xml:space="preserve"> </w:t>
      </w:r>
      <w:r>
        <w:drawing>
          <wp:inline>
            <wp:extent cx="7238999" cy="9382124"/>
            <wp:docPr hidden="false" id="2" name="Picture 2"/>
            <a:graphic>
              <a:graphicData uri="http://schemas.openxmlformats.org/drawingml/2006/picture">
                <pic:pic>
                  <pic:nvPicPr>
                    <pic:cNvPr hidden="false" id="1" name="Picture 1"/>
                    <pic:cNvPicPr preferRelativeResize="true"/>
                  </pic:nvPicPr>
                  <pic:blipFill>
                    <a:blip r:embed="rId1"/>
                    <a:stretch/>
                  </pic:blipFill>
                  <pic:spPr>
                    <a:xfrm flipH="false" flipV="false" rot="0">
                      <a:ext cx="7238999" cy="9382124"/>
                    </a:xfrm>
                    <a:prstGeom prst="rect"/>
                  </pic:spPr>
                </pic:pic>
              </a:graphicData>
            </a:graphic>
          </wp:inline>
        </w:drawing>
      </w:r>
    </w:p>
    <w:p w14:paraId="02000000">
      <w:pPr>
        <w:pStyle w:val="Style_1"/>
        <w:spacing w:after="195" w:before="195" w:line="240" w:lineRule="auto"/>
        <w:ind/>
        <w:jc w:val="right"/>
        <w:rPr>
          <w:rFonts w:ascii="Times New Roman" w:hAnsi="Times New Roman"/>
          <w:color w:val="103442"/>
          <w:sz w:val="28"/>
        </w:rPr>
      </w:pPr>
    </w:p>
    <w:p w14:paraId="03000000">
      <w:pPr>
        <w:pStyle w:val="Style_1"/>
        <w:numPr>
          <w:numId w:val="1"/>
        </w:numPr>
        <w:spacing w:after="195" w:before="195" w:line="240" w:lineRule="auto"/>
        <w:ind/>
        <w:jc w:val="left"/>
        <w:rPr>
          <w:rFonts w:ascii="Times New Roman" w:hAnsi="Times New Roman"/>
          <w:color w:val="103442"/>
          <w:sz w:val="28"/>
        </w:rPr>
      </w:pPr>
      <w:r>
        <w:rPr>
          <w:rFonts w:ascii="Times New Roman" w:hAnsi="Times New Roman"/>
          <w:color w:val="103442"/>
          <w:sz w:val="28"/>
        </w:rPr>
        <w:t xml:space="preserve"> разъяснение основных требований антикоррупционного законодательства Российской Федерации, которые могут применяться в Библиотеке;</w:t>
      </w:r>
    </w:p>
    <w:p w14:paraId="04000000">
      <w:pPr>
        <w:pStyle w:val="Style_1"/>
        <w:numPr>
          <w:numId w:val="1"/>
        </w:numPr>
        <w:spacing w:after="0" w:before="45" w:line="341" w:lineRule="atLeast"/>
        <w:ind w:right="0"/>
        <w:jc w:val="both"/>
        <w:rPr>
          <w:rFonts w:ascii="Times New Roman" w:hAnsi="Times New Roman"/>
          <w:color w:val="103442"/>
          <w:sz w:val="28"/>
        </w:rPr>
      </w:pPr>
      <w:r>
        <w:rPr>
          <w:rFonts w:ascii="Times New Roman" w:hAnsi="Times New Roman"/>
          <w:color w:val="103442"/>
          <w:sz w:val="28"/>
        </w:rPr>
        <w:t xml:space="preserve"> поддержание деловой репутации Библиотеки на должном уровне.</w:t>
      </w:r>
    </w:p>
    <w:p w14:paraId="05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2.2. Задачи Политики:</w:t>
      </w:r>
    </w:p>
    <w:p w14:paraId="06000000">
      <w:pPr>
        <w:pStyle w:val="Style_1"/>
        <w:numPr>
          <w:numId w:val="2"/>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 xml:space="preserve"> информирование работников Библиотеки о нормативно-правовом обеспечении работы по противодействию коррупции и ответственности за совершение коррупционных правонарушений;</w:t>
      </w:r>
    </w:p>
    <w:p w14:paraId="07000000">
      <w:pPr>
        <w:pStyle w:val="Style_1"/>
        <w:numPr>
          <w:numId w:val="3"/>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 xml:space="preserve"> определение основных принципов противодействия коррупции в Библиотеке; внедрение в практику работы Библиотеки принципов и требований антикоррупционной политики, ключевых норм антикоррупционного законодательства, а также мероприятий по предотвращению коррупции.</w:t>
      </w:r>
    </w:p>
    <w:p w14:paraId="08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3. ПОНЯТИЯ И ОПРЕДЕЛЕНИЯ</w:t>
      </w:r>
    </w:p>
    <w:p w14:paraId="09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В настоящем документе используются следующие понятия и определения:</w:t>
      </w:r>
    </w:p>
    <w:p w14:paraId="0A000000">
      <w:pPr>
        <w:pStyle w:val="Style_1"/>
        <w:spacing w:after="195" w:before="195" w:line="240" w:lineRule="auto"/>
        <w:ind/>
        <w:jc w:val="both"/>
      </w:pPr>
      <w:r>
        <w:rPr>
          <w:rFonts w:ascii="Times New Roman" w:hAnsi="Times New Roman"/>
          <w:i w:val="1"/>
          <w:color w:val="103442"/>
          <w:sz w:val="28"/>
        </w:rPr>
        <w:t>Коррупция</w:t>
      </w:r>
      <w:r>
        <w:rPr>
          <w:rFonts w:ascii="Times New Roman" w:hAnsi="Times New Roman"/>
          <w:color w:val="103442"/>
          <w:sz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 2008 г. №273-ФЗ «О противодействии коррупции»).</w:t>
      </w:r>
    </w:p>
    <w:p w14:paraId="0B000000">
      <w:pPr>
        <w:pStyle w:val="Style_1"/>
        <w:spacing w:after="195" w:before="195" w:line="240" w:lineRule="auto"/>
        <w:ind/>
        <w:jc w:val="both"/>
      </w:pPr>
      <w:r>
        <w:rPr>
          <w:rFonts w:ascii="Times New Roman" w:hAnsi="Times New Roman"/>
          <w:i w:val="1"/>
          <w:color w:val="103442"/>
          <w:sz w:val="28"/>
        </w:rPr>
        <w:t>Противодействие коррупции</w:t>
      </w:r>
      <w:r>
        <w:rPr>
          <w:rFonts w:ascii="Times New Roman" w:hAnsi="Times New Roman"/>
          <w:color w:val="103442"/>
          <w:sz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№273 –ФЗ от 25 дек. 2008 г. «О противодействии коррупции»).</w:t>
      </w:r>
    </w:p>
    <w:p w14:paraId="0C000000">
      <w:pPr>
        <w:pStyle w:val="Style_1"/>
        <w:spacing w:after="195" w:before="195" w:line="240" w:lineRule="auto"/>
        <w:ind/>
        <w:jc w:val="both"/>
      </w:pPr>
      <w:r>
        <w:rPr>
          <w:rFonts w:ascii="Times New Roman" w:hAnsi="Times New Roman"/>
          <w:i w:val="1"/>
          <w:color w:val="103442"/>
          <w:sz w:val="28"/>
        </w:rPr>
        <w:t>Коррупционное правонарушение</w:t>
      </w:r>
      <w:r>
        <w:rPr>
          <w:rFonts w:ascii="Times New Roman" w:hAnsi="Times New Roman"/>
          <w:color w:val="103442"/>
          <w:sz w:val="28"/>
        </w:rPr>
        <w:t> – деяние, обладающее признаками коррупции, за которые нормативно-правовым актом предусмотрена гражданско-правовая, дисциплинарная, административная или уголовная ответственность.</w:t>
      </w:r>
    </w:p>
    <w:p w14:paraId="0D000000">
      <w:pPr>
        <w:pStyle w:val="Style_1"/>
        <w:spacing w:after="195" w:before="195" w:line="240" w:lineRule="auto"/>
        <w:ind/>
        <w:jc w:val="both"/>
      </w:pPr>
      <w:r>
        <w:rPr>
          <w:rFonts w:ascii="Times New Roman" w:hAnsi="Times New Roman"/>
          <w:i w:val="1"/>
          <w:color w:val="103442"/>
          <w:sz w:val="28"/>
        </w:rPr>
        <w:t>Предупреждение коррупции</w:t>
      </w:r>
      <w:r>
        <w:rPr>
          <w:rFonts w:ascii="Times New Roman" w:hAnsi="Times New Roman"/>
          <w:color w:val="103442"/>
          <w:sz w:val="28"/>
        </w:rPr>
        <w:t> – деятельность по антикоррупционной политике, направленная на выявление, изучение, ограничение либо устранение явлений, порождающих коррупционные правонарушения или способствующие их распространению.</w:t>
      </w:r>
    </w:p>
    <w:p w14:paraId="0E000000">
      <w:pPr>
        <w:pStyle w:val="Style_1"/>
        <w:spacing w:after="195" w:before="195" w:line="240" w:lineRule="auto"/>
        <w:ind/>
        <w:jc w:val="both"/>
      </w:pPr>
      <w:r>
        <w:rPr>
          <w:rFonts w:ascii="Times New Roman" w:hAnsi="Times New Roman"/>
          <w:i w:val="1"/>
          <w:color w:val="103442"/>
          <w:sz w:val="28"/>
        </w:rPr>
        <w:t>Организация</w:t>
      </w:r>
      <w:r>
        <w:rPr>
          <w:rFonts w:ascii="Times New Roman" w:hAnsi="Times New Roman"/>
          <w:color w:val="103442"/>
          <w:sz w:val="28"/>
        </w:rPr>
        <w:t> - юридическое лицо независимо от формы собственности, организационно-правовой формы и отраслевой принадлежности.</w:t>
      </w:r>
    </w:p>
    <w:p w14:paraId="0F000000">
      <w:pPr>
        <w:pStyle w:val="Style_1"/>
        <w:spacing w:after="195" w:before="195" w:line="240" w:lineRule="auto"/>
        <w:ind/>
        <w:jc w:val="both"/>
      </w:pPr>
      <w:r>
        <w:rPr>
          <w:rFonts w:ascii="Times New Roman" w:hAnsi="Times New Roman"/>
          <w:i w:val="1"/>
          <w:color w:val="103442"/>
          <w:sz w:val="28"/>
        </w:rPr>
        <w:t>Контрагент</w:t>
      </w:r>
      <w:r>
        <w:rPr>
          <w:rFonts w:ascii="Times New Roman" w:hAnsi="Times New Roman"/>
          <w:color w:val="103442"/>
          <w:sz w:val="28"/>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10000000">
      <w:pPr>
        <w:pStyle w:val="Style_1"/>
        <w:spacing w:after="195" w:before="195" w:line="240" w:lineRule="auto"/>
        <w:ind/>
        <w:jc w:val="both"/>
      </w:pPr>
      <w:r>
        <w:rPr>
          <w:rFonts w:ascii="Times New Roman" w:hAnsi="Times New Roman"/>
          <w:i w:val="1"/>
          <w:color w:val="103442"/>
          <w:sz w:val="28"/>
        </w:rPr>
        <w:t>Конфликт интересов</w:t>
      </w:r>
      <w:r>
        <w:rPr>
          <w:rFonts w:ascii="Times New Roman" w:hAnsi="Times New Roman"/>
          <w:color w:val="103442"/>
          <w:sz w:val="28"/>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является.</w:t>
      </w:r>
    </w:p>
    <w:p w14:paraId="11000000">
      <w:pPr>
        <w:pStyle w:val="Style_1"/>
        <w:spacing w:after="195" w:before="195" w:line="240" w:lineRule="auto"/>
        <w:ind/>
        <w:jc w:val="both"/>
      </w:pPr>
      <w:r>
        <w:rPr>
          <w:rFonts w:ascii="Times New Roman" w:hAnsi="Times New Roman"/>
          <w:i w:val="1"/>
          <w:color w:val="103442"/>
          <w:sz w:val="28"/>
        </w:rPr>
        <w:t>Личная заинтересованность работника</w:t>
      </w:r>
      <w:r>
        <w:rPr>
          <w:rFonts w:ascii="Times New Roman" w:hAnsi="Times New Roman"/>
          <w:color w:val="103442"/>
          <w:sz w:val="28"/>
        </w:rPr>
        <w:t> – заинтересованность работника, связанная с возможностью получения работником при исполнении должностных обязанностей в виде денег, ценностей, иного имущества или услуг имущественного характера, иных имущественных прав для себя или для третьих лиц.</w:t>
      </w:r>
    </w:p>
    <w:p w14:paraId="12000000">
      <w:pPr>
        <w:pStyle w:val="Style_1"/>
        <w:spacing w:after="195" w:before="195" w:line="240" w:lineRule="auto"/>
        <w:ind/>
        <w:jc w:val="both"/>
      </w:pPr>
      <w:r>
        <w:rPr>
          <w:rFonts w:ascii="Times New Roman" w:hAnsi="Times New Roman"/>
          <w:i w:val="1"/>
          <w:color w:val="103442"/>
          <w:sz w:val="28"/>
        </w:rPr>
        <w:t>Взятка</w:t>
      </w:r>
      <w:r>
        <w:rPr>
          <w:rFonts w:ascii="Times New Roman" w:hAnsi="Times New Roman"/>
          <w:color w:val="103442"/>
          <w:sz w:val="28"/>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3000000">
      <w:pPr>
        <w:pStyle w:val="Style_1"/>
        <w:spacing w:after="195" w:before="195" w:line="240" w:lineRule="auto"/>
        <w:ind/>
        <w:jc w:val="both"/>
      </w:pPr>
      <w:r>
        <w:rPr>
          <w:rFonts w:ascii="Times New Roman" w:hAnsi="Times New Roman"/>
          <w:i w:val="1"/>
          <w:color w:val="103442"/>
          <w:sz w:val="28"/>
        </w:rPr>
        <w:t>Коммерческий подкуп</w:t>
      </w:r>
      <w:r>
        <w:rPr>
          <w:rFonts w:ascii="Times New Roman" w:hAnsi="Times New Roman"/>
          <w:color w:val="103442"/>
          <w:sz w:val="28"/>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14000000">
      <w:pPr>
        <w:pStyle w:val="Style_1"/>
        <w:spacing w:after="195" w:before="195" w:line="240" w:lineRule="auto"/>
        <w:ind/>
        <w:jc w:val="both"/>
      </w:pPr>
      <w:r>
        <w:rPr>
          <w:rFonts w:ascii="Times New Roman" w:hAnsi="Times New Roman"/>
          <w:i w:val="1"/>
          <w:color w:val="103442"/>
          <w:sz w:val="28"/>
        </w:rPr>
        <w:t>Комплаенс</w:t>
      </w:r>
      <w:r>
        <w:rPr>
          <w:rFonts w:ascii="Times New Roman" w:hAnsi="Times New Roman"/>
          <w:color w:val="103442"/>
          <w:sz w:val="28"/>
        </w:rPr>
        <w:t>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14:paraId="15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4. ОСНОВНЫЕ ПРИНЦИПЫ АНТИКОРРУПЦИОННОЙ ПОЛИТИКИ БИБЛИОТЕКИ</w:t>
      </w:r>
    </w:p>
    <w:p w14:paraId="16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4.1. Антикоррупционная политика Библиотеки основывается на следующих ключевых принципах:</w:t>
      </w:r>
    </w:p>
    <w:p w14:paraId="17000000">
      <w:pPr>
        <w:pStyle w:val="Style_1"/>
        <w:numPr>
          <w:numId w:val="4"/>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 xml:space="preserve"> принцип соответствия Политики Библиотеки действующему законодательству Российской Федерации и общепринятым нормам поведения;</w:t>
      </w:r>
    </w:p>
    <w:p w14:paraId="18000000">
      <w:pPr>
        <w:pStyle w:val="Style_1"/>
        <w:numPr>
          <w:numId w:val="4"/>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 xml:space="preserve"> принцип личного примера руководства;</w:t>
      </w:r>
    </w:p>
    <w:p w14:paraId="19000000">
      <w:pPr>
        <w:pStyle w:val="Style_1"/>
        <w:numPr>
          <w:numId w:val="4"/>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 xml:space="preserve"> принцип вовлеченности работников в антикоррупционную деятельность;</w:t>
      </w:r>
    </w:p>
    <w:p w14:paraId="1A000000">
      <w:pPr>
        <w:pStyle w:val="Style_1"/>
        <w:numPr>
          <w:numId w:val="4"/>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 xml:space="preserve"> принцип эффективности антикоррупционных процедур;</w:t>
      </w:r>
    </w:p>
    <w:p w14:paraId="1B000000">
      <w:pPr>
        <w:pStyle w:val="Style_1"/>
        <w:numPr>
          <w:numId w:val="4"/>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 xml:space="preserve"> принцип открытости деятельности;</w:t>
      </w:r>
    </w:p>
    <w:p w14:paraId="1C000000">
      <w:pPr>
        <w:pStyle w:val="Style_1"/>
        <w:numPr>
          <w:numId w:val="4"/>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 xml:space="preserve"> принцип контроля за исполнением антикоррупционных процедур.</w:t>
      </w:r>
    </w:p>
    <w:p w14:paraId="1D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5. ОБЛАСТЬ ПРИМЕНЕНИЯ ПОЛИТИКИ И КРУГ ЛИЦ, ПОПАДАЮЩИХ ПОД ЕЕ ДЕЙСТВИЕ</w:t>
      </w:r>
    </w:p>
    <w:p w14:paraId="1E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5.1. Основным кругом лиц, попадающих под действие Политики, являются работники Библиотеки вне зависимости от занимаемой должности и выполняемых функций.</w:t>
      </w:r>
    </w:p>
    <w:p w14:paraId="1F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5.2. Действие Политики распространяется на физических и (или) юридических лиц, с которыми Библиотека вступает в договорные отношения.</w:t>
      </w:r>
    </w:p>
    <w:p w14:paraId="20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6. ОБЯЗАННОСТИ РАБОТНИКОВ БИБЛИОТЕКИ ПО ПРЕДУПРЕЖДЕНИЮ И ПРОТИВОДЕЙСТВИЮ КОРРУПЦИИ</w:t>
      </w:r>
    </w:p>
    <w:p w14:paraId="21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6.1. Работники библиотеки в связи с исполнением своих трудовых обязанностей должны:</w:t>
      </w:r>
    </w:p>
    <w:p w14:paraId="22000000">
      <w:pPr>
        <w:pStyle w:val="Style_1"/>
        <w:numPr>
          <w:numId w:val="5"/>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 xml:space="preserve"> воздерживаться от совершения и (или) участия в совершении коррупционных правонарушений в интересах или от имени Библиотеки;</w:t>
      </w:r>
    </w:p>
    <w:p w14:paraId="23000000">
      <w:pPr>
        <w:pStyle w:val="Style_1"/>
        <w:numPr>
          <w:numId w:val="5"/>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воздерживаться от поведения, которое может быть истолковано окружающими как готовность совершать, или участвовать в совершении коррупционного правонарушения в интересах или от имени Библиотеки;</w:t>
      </w:r>
    </w:p>
    <w:p w14:paraId="24000000">
      <w:pPr>
        <w:pStyle w:val="Style_1"/>
        <w:numPr>
          <w:numId w:val="5"/>
        </w:numPr>
        <w:spacing w:after="0" w:before="45" w:line="341" w:lineRule="atLeast"/>
        <w:ind w:firstLine="0" w:left="165" w:right="0"/>
        <w:jc w:val="both"/>
        <w:rPr>
          <w:rFonts w:ascii="Times New Roman" w:hAnsi="Times New Roman"/>
          <w:color w:val="103442"/>
          <w:sz w:val="28"/>
        </w:rPr>
      </w:pPr>
      <w:r>
        <w:rPr>
          <w:rFonts w:ascii="Times New Roman" w:hAnsi="Times New Roman"/>
          <w:color w:val="103442"/>
          <w:sz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25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7. ОТВЕТСТВЕННОСТЬ ЗА КОРРУПЦИОННЫЕ ПРАВОНАРУШЕНИЯ</w:t>
      </w:r>
    </w:p>
    <w:p w14:paraId="26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7.1. 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 установленную статьей 13 Федерального закона «О противодействии коррупции», в соответствии с законодательством Российской Федерации.</w:t>
      </w:r>
    </w:p>
    <w:p w14:paraId="27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7.2. Привлечение работника к дисциплинарной ответственности может осуществляться в соответствии с Трудовым кодексом Российской Федерации (далее – ТК РФ).</w:t>
      </w:r>
    </w:p>
    <w:p w14:paraId="28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7.3. Согласно статье 192 ТК РФ к дисциплинарным взысканиям относится увольнение работника по основаниям, предусмотренным пунктами 5.6, 9, 10 части первой статьи 81, пунктом 1 статьи 336, а также пунктами 7, 7.1 части первой статьи 81 ТК РФ в случаях, когда работник в связи с исполнением им трудовых обязанностей совершает действия, дающие основания для утраты доверия.</w:t>
      </w:r>
    </w:p>
    <w:p w14:paraId="29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7.4. Трудовой договор может быть расторгнут, в том числе в следующих случаях:</w:t>
      </w:r>
    </w:p>
    <w:p w14:paraId="2A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однократного грубого нарушения работником трудовых обязанностей, выразившегося в охраняемой законом тайны,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статьи 81 ТК РФ);</w:t>
      </w:r>
    </w:p>
    <w:p w14:paraId="2B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14:paraId="2C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принятия необоснованного решения руководителем организации, его заместителями,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14:paraId="2D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однократного грубого нарушения руководителем организации, его заместителями своих трудовых обязанностей (пункт 10 части первой статьи 81 ТК РФ).</w:t>
      </w:r>
    </w:p>
    <w:p w14:paraId="2E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8.НАПРАВЛЕНИЯ РАБОТЫ И АНТИКОРРУПЦИРННЫЕ МЕРОПРИЯТИЯ</w:t>
      </w:r>
    </w:p>
    <w:p w14:paraId="2F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8.1. Нормативное обеспечение, закрепление стандартов поведения. Для исполнения данного направления работы осуществляются следующие мероприятия:</w:t>
      </w:r>
    </w:p>
    <w:p w14:paraId="30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разработка и принятие Кодекса корпоративной этики и служебного поведения работников муниципального бюджетного учреждения культуры «Центральная библиотека Мичуринского муниципального округа»;</w:t>
      </w:r>
    </w:p>
    <w:p w14:paraId="31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размещение в договорах, связанных с хозяйственной деятельностью Библиотеки стандартной антикоррупционной оговорки.</w:t>
      </w:r>
    </w:p>
    <w:p w14:paraId="32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8.2. Обучение и информирование работников. Для исполнения данного направления работы осуществляются следующие мероприятия:</w:t>
      </w:r>
    </w:p>
    <w:p w14:paraId="33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оказание работникам консультационной помощи по вопросам, связанным с применением на практике Кодекса корпоративной этики;</w:t>
      </w:r>
    </w:p>
    <w:p w14:paraId="34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проведение обучающих мероприятий по вопросам профилактики и противодействия коррупции.</w:t>
      </w:r>
    </w:p>
    <w:p w14:paraId="35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8.3. Организация антикоррупционного образования и просвещения пользователей Библиотеки. Для исполнения данного направления работы осуществляются следующие мероприятия:</w:t>
      </w:r>
    </w:p>
    <w:p w14:paraId="36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комплектование фонда законодательных, нормативных, учебных материалов;</w:t>
      </w:r>
    </w:p>
    <w:p w14:paraId="37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проведение информационно – просветительных мероприятий.</w:t>
      </w:r>
    </w:p>
    <w:p w14:paraId="38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8.4. Обеспечение системы внутреннего контроля Библиотеки требованиям антикоррупционной политики. Для исполнения данного направления работы осуществляются следующие мероприятия:</w:t>
      </w:r>
    </w:p>
    <w:p w14:paraId="39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осуществление внутреннего контроля за хозяйственными операциями, целевым и экономически эффективным расходованием денежных средств, документированием операций хозяйственной деятельности;</w:t>
      </w:r>
    </w:p>
    <w:p w14:paraId="3A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осуществление контроля за закупочной деятельностью;</w:t>
      </w:r>
    </w:p>
    <w:p w14:paraId="3B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осуществление внутреннего контроля ведения первичного бухгалтерского учета;</w:t>
      </w:r>
    </w:p>
    <w:p w14:paraId="3C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осуществление контроля за правильным заполнением трудовых книжек, выдачей справок о стаже работы, хранением личных дел, персональных данных работников;</w:t>
      </w:r>
    </w:p>
    <w:p w14:paraId="3D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отчет директора библиотеки о целевом использовании бюджета и внебюджетных средств.</w:t>
      </w:r>
    </w:p>
    <w:p w14:paraId="3E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8.5. Меры по предупреждению коррупции при взаимодействии с организациями-контрагентами в целях снижения риска вовлечения Библиотеки в коррупционную деятельность. Для исполнения данного направления работы осуществляется сбор и анализ находящихся в открытом доступе сведений о потенциальных организациях – контрагентах: их репутации в деловых кругах, длительности деятельности на рынке услуг</w:t>
      </w:r>
    </w:p>
    <w:p w14:paraId="3F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9. ДОЛЖНОСТНЫЕ ЛИЦА БИБЛИОТЕКИ, ОТВЕТСТВЕННЫЕ ЗА РЕАЛИЗАЦИЮ ПОЛИТИКИ</w:t>
      </w:r>
    </w:p>
    <w:p w14:paraId="40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9.1. За организацию всех мероприятий, направленных на реализацию принципов и требований Политики, включая назначение работников, ответственных за разработку антикоррупционных мероприятий, их исполнение отвечает директор Библиотеки.</w:t>
      </w:r>
    </w:p>
    <w:p w14:paraId="41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9.2. Обязанности работников, ответственных за разработку и исполнение антикоррупционных мероприятий (членов Комиссии по противодействию коррупции в муниципальном бюджетном учреждении культуры «Центральная библиотека Мичуринского муниципального округа»):</w:t>
      </w:r>
    </w:p>
    <w:p w14:paraId="42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разработка и представление на утверждение директору проектов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43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проведение контрольных мероприятий, направленных на выявление коррупционных правонарушений работниками организации;</w:t>
      </w:r>
    </w:p>
    <w:p w14:paraId="44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организация проведения оценки коррупционных рисков;</w:t>
      </w:r>
    </w:p>
    <w:p w14:paraId="45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46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организация заполнения и рассмотрения деклараций о конфликте интересов;</w:t>
      </w:r>
    </w:p>
    <w:p w14:paraId="47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14:paraId="48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49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4A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 проведение оценки результатов антикоррупционной работы и подготовка соответствующих отчетных материалов руководству организации.</w:t>
      </w:r>
    </w:p>
    <w:p w14:paraId="4B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10. ЗАКЛЮЧИТЕЛЬНЫЕ ПОЛОЖЕНИЯ</w:t>
      </w:r>
    </w:p>
    <w:p w14:paraId="4C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10.1. Утвержденная директором муниципального бюджетного учреждения культуры «Центральная библиотека Мичуринского муниципального округа» Антикоррупционная политика в обязательном порядке должна применяться в деятельности Библиотеки.</w:t>
      </w:r>
    </w:p>
    <w:p w14:paraId="4D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10.2. Гарантом выполнения в Библиотеке антикоррупционных правил и процедур выступает директор.</w:t>
      </w:r>
    </w:p>
    <w:p w14:paraId="4E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10.3. Утвержденная Политика доводится до сведения всех работников Библиотеки, в том числе принимаемых на работу.</w:t>
      </w:r>
    </w:p>
    <w:p w14:paraId="4F000000">
      <w:pPr>
        <w:pStyle w:val="Style_1"/>
        <w:spacing w:after="195" w:before="195" w:line="240" w:lineRule="auto"/>
        <w:ind/>
        <w:jc w:val="both"/>
        <w:rPr>
          <w:rFonts w:ascii="Times New Roman" w:hAnsi="Times New Roman"/>
          <w:color w:val="103442"/>
          <w:sz w:val="28"/>
        </w:rPr>
      </w:pPr>
      <w:r>
        <w:rPr>
          <w:rFonts w:ascii="Times New Roman" w:hAnsi="Times New Roman"/>
          <w:color w:val="103442"/>
          <w:sz w:val="28"/>
        </w:rPr>
        <w:t>10.4. Обеспечивается возможность беспрепятственного доступа работников к тексту Политики путем размещения его на сайте Библиотеки.</w:t>
      </w:r>
    </w:p>
    <w:p w14:paraId="50000000">
      <w:pPr>
        <w:rPr>
          <w:sz w:val="44"/>
        </w:rPr>
      </w:pPr>
    </w:p>
    <w:sectPr>
      <w:pgSz w:h="16838" w:orient="portrait" w:w="11906"/>
      <w:pgMar w:bottom="1134" w:footer="708" w:gutter="0" w:header="708" w:left="709" w:right="425"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Emphasis"/>
    <w:basedOn w:val="Style_4"/>
    <w:link w:val="Style_3_ch"/>
    <w:rPr>
      <w:i w:val="1"/>
    </w:rPr>
  </w:style>
  <w:style w:styleId="Style_3_ch" w:type="character">
    <w:name w:val="Emphasis"/>
    <w:basedOn w:val="Style_4_ch"/>
    <w:link w:val="Style_3"/>
    <w:rPr>
      <w:i w:val="1"/>
    </w:rPr>
  </w:style>
  <w:style w:styleId="Style_5" w:type="paragraph">
    <w:name w:val="toc 4"/>
    <w:next w:val="Style_1"/>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Strong"/>
    <w:basedOn w:val="Style_4"/>
    <w:link w:val="Style_6_ch"/>
    <w:rPr>
      <w:b w:val="1"/>
    </w:rPr>
  </w:style>
  <w:style w:styleId="Style_6_ch" w:type="character">
    <w:name w:val="Strong"/>
    <w:basedOn w:val="Style_4_ch"/>
    <w:link w:val="Style_6"/>
    <w:rPr>
      <w:b w:val="1"/>
    </w:rPr>
  </w:style>
  <w:style w:styleId="Style_7" w:type="paragraph">
    <w:name w:val="toc 6"/>
    <w:next w:val="Style_1"/>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1"/>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1"/>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apple-converted-space"/>
    <w:basedOn w:val="Style_4"/>
    <w:link w:val="Style_10_ch"/>
  </w:style>
  <w:style w:styleId="Style_10_ch" w:type="character">
    <w:name w:val="apple-converted-space"/>
    <w:basedOn w:val="Style_4_ch"/>
    <w:link w:val="Style_10"/>
  </w:style>
  <w:style w:styleId="Style_11" w:type="paragraph">
    <w:name w:val="Normal (Web)"/>
    <w:basedOn w:val="Style_1"/>
    <w:link w:val="Style_11_ch"/>
    <w:pPr>
      <w:spacing w:afterAutospacing="on" w:beforeAutospacing="on" w:line="240" w:lineRule="auto"/>
      <w:ind/>
    </w:pPr>
    <w:rPr>
      <w:rFonts w:ascii="Times New Roman" w:hAnsi="Times New Roman"/>
      <w:sz w:val="24"/>
    </w:rPr>
  </w:style>
  <w:style w:styleId="Style_11_ch" w:type="character">
    <w:name w:val="Normal (Web)"/>
    <w:basedOn w:val="Style_1_ch"/>
    <w:link w:val="Style_11"/>
    <w:rPr>
      <w:rFonts w:ascii="Times New Roman" w:hAnsi="Times New Roman"/>
      <w:sz w:val="24"/>
    </w:rPr>
  </w:style>
  <w:style w:styleId="Style_4" w:type="paragraph">
    <w:name w:val="Default Paragraph Font"/>
    <w:link w:val="Style_4_ch"/>
  </w:style>
  <w:style w:styleId="Style_4_ch" w:type="character">
    <w:name w:val="Default Paragraph Font"/>
    <w:link w:val="Style_4"/>
  </w:style>
  <w:style w:styleId="Style_12" w:type="paragraph">
    <w:name w:val="toc 3"/>
    <w:next w:val="Style_1"/>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TML Preformatted"/>
    <w:basedOn w:val="Style_1"/>
    <w:link w:val="Style_13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13_ch" w:type="character">
    <w:name w:val="HTML Preformatted"/>
    <w:basedOn w:val="Style_1_ch"/>
    <w:link w:val="Style_13"/>
    <w:rPr>
      <w:rFonts w:ascii="Courier New" w:hAnsi="Courier New"/>
      <w:sz w:val="20"/>
    </w:rPr>
  </w:style>
  <w:style w:styleId="Style_14" w:type="paragraph">
    <w:name w:val="heading 5"/>
    <w:next w:val="Style_1"/>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1"/>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1"/>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1"/>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Balloon Text"/>
    <w:basedOn w:val="Style_1"/>
    <w:link w:val="Style_21_ch"/>
    <w:pPr>
      <w:spacing w:after="0" w:line="240" w:lineRule="auto"/>
      <w:ind/>
    </w:pPr>
    <w:rPr>
      <w:rFonts w:ascii="Tahoma" w:hAnsi="Tahoma"/>
      <w:sz w:val="16"/>
    </w:rPr>
  </w:style>
  <w:style w:styleId="Style_21_ch" w:type="character">
    <w:name w:val="Balloon Text"/>
    <w:basedOn w:val="Style_1_ch"/>
    <w:link w:val="Style_21"/>
    <w:rPr>
      <w:rFonts w:ascii="Tahoma" w:hAnsi="Tahoma"/>
      <w:sz w:val="16"/>
    </w:rPr>
  </w:style>
  <w:style w:styleId="Style_22" w:type="paragraph">
    <w:name w:val="toc 8"/>
    <w:next w:val="Style_1"/>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1"/>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1"/>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1"/>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1"/>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1"/>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styleId="Style_28" w:type="paragraph">
    <w:name w:val="has-text-align-center"/>
    <w:basedOn w:val="Style_1"/>
    <w:link w:val="Style_28_ch"/>
    <w:pPr>
      <w:spacing w:afterAutospacing="on" w:beforeAutospacing="on" w:line="240" w:lineRule="auto"/>
      <w:ind/>
    </w:pPr>
    <w:rPr>
      <w:rFonts w:ascii="Times New Roman" w:hAnsi="Times New Roman"/>
      <w:sz w:val="24"/>
    </w:rPr>
  </w:style>
  <w:style w:styleId="Style_28_ch" w:type="character">
    <w:name w:val="has-text-align-center"/>
    <w:basedOn w:val="Style_1_ch"/>
    <w:link w:val="Style_28"/>
    <w:rPr>
      <w:rFonts w:ascii="Times New Roman" w:hAnsi="Times New Roman"/>
      <w:sz w:val="24"/>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8" Target="numbering.xml" Type="http://schemas.openxmlformats.org/officeDocument/2006/relationships/numbering"/>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2025-03-20T10:24:58Z</dcterms:modified>
</cp:coreProperties>
</file>